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96322" w14:textId="77777777" w:rsidR="007A13F3" w:rsidRPr="00646620" w:rsidRDefault="007A13F3" w:rsidP="007A13F3">
      <w:pPr>
        <w:tabs>
          <w:tab w:val="left" w:pos="6840"/>
        </w:tabs>
        <w:jc w:val="center"/>
        <w:rPr>
          <w:rFonts w:ascii="Minion Pro" w:hAnsi="Minion Pro"/>
          <w:szCs w:val="24"/>
        </w:rPr>
      </w:pPr>
    </w:p>
    <w:p w14:paraId="6D275080" w14:textId="3835BF23" w:rsidR="007A13F3" w:rsidRDefault="00B43AF3" w:rsidP="007A13F3">
      <w:pPr>
        <w:tabs>
          <w:tab w:val="left" w:pos="6840"/>
        </w:tabs>
        <w:jc w:val="center"/>
        <w:rPr>
          <w:rFonts w:ascii="Minion Pro" w:hAnsi="Minion Pro"/>
          <w:szCs w:val="24"/>
        </w:rPr>
      </w:pPr>
      <w:r>
        <w:rPr>
          <w:rFonts w:ascii="Minion Pro" w:hAnsi="Minion Pro"/>
          <w:szCs w:val="24"/>
        </w:rPr>
        <w:t>MICROMOUNTERS HALL OF FAME</w:t>
      </w:r>
    </w:p>
    <w:p w14:paraId="6FFC2C20" w14:textId="00F270C5" w:rsidR="00B43AF3" w:rsidRPr="00646620" w:rsidRDefault="00B43AF3" w:rsidP="007A13F3">
      <w:pPr>
        <w:tabs>
          <w:tab w:val="left" w:pos="6840"/>
        </w:tabs>
        <w:jc w:val="center"/>
        <w:rPr>
          <w:rFonts w:ascii="Minion Pro" w:hAnsi="Minion Pro"/>
          <w:szCs w:val="24"/>
        </w:rPr>
      </w:pPr>
      <w:r>
        <w:rPr>
          <w:rFonts w:ascii="Minion Pro" w:hAnsi="Minion Pro"/>
          <w:szCs w:val="24"/>
        </w:rPr>
        <w:t>Criteria for Eligibility and Nomination</w:t>
      </w:r>
      <w:bookmarkStart w:id="0" w:name="_GoBack"/>
      <w:bookmarkEnd w:id="0"/>
    </w:p>
    <w:p w14:paraId="184825C1" w14:textId="77777777" w:rsidR="007A13F3" w:rsidRPr="00646620" w:rsidRDefault="007A13F3" w:rsidP="007A13F3">
      <w:pPr>
        <w:tabs>
          <w:tab w:val="left" w:pos="2520"/>
          <w:tab w:val="left" w:pos="4680"/>
        </w:tabs>
        <w:rPr>
          <w:rFonts w:ascii="Minion Pro" w:hAnsi="Minion Pro"/>
          <w:szCs w:val="24"/>
        </w:rPr>
      </w:pPr>
    </w:p>
    <w:p w14:paraId="22DD1C48" w14:textId="77777777" w:rsidR="007A13F3" w:rsidRPr="00646620" w:rsidRDefault="007A13F3" w:rsidP="007A13F3">
      <w:pPr>
        <w:tabs>
          <w:tab w:val="left" w:pos="2520"/>
          <w:tab w:val="left" w:pos="4680"/>
        </w:tabs>
        <w:rPr>
          <w:rFonts w:ascii="Minion Pro" w:hAnsi="Minion Pro"/>
          <w:szCs w:val="24"/>
        </w:rPr>
      </w:pPr>
    </w:p>
    <w:p w14:paraId="1792AE5B" w14:textId="77777777" w:rsidR="007A13F3" w:rsidRPr="00646620" w:rsidRDefault="007A13F3" w:rsidP="007A13F3">
      <w:pPr>
        <w:tabs>
          <w:tab w:val="left" w:pos="2520"/>
          <w:tab w:val="left" w:pos="5220"/>
          <w:tab w:val="left" w:pos="6840"/>
        </w:tabs>
        <w:ind w:left="1440" w:hanging="1440"/>
        <w:rPr>
          <w:rFonts w:ascii="Minion Pro" w:hAnsi="Minion Pro"/>
          <w:szCs w:val="24"/>
        </w:rPr>
      </w:pPr>
      <w:r w:rsidRPr="00646620">
        <w:rPr>
          <w:rFonts w:ascii="Minion Pro" w:hAnsi="Minion Pro"/>
          <w:szCs w:val="24"/>
        </w:rPr>
        <w:t>PURPOSE</w:t>
      </w:r>
      <w:r w:rsidRPr="00646620">
        <w:rPr>
          <w:rFonts w:ascii="Minion Pro" w:hAnsi="Minion Pro"/>
          <w:szCs w:val="24"/>
        </w:rPr>
        <w:tab/>
        <w:t>To establish and maintain a</w:t>
      </w:r>
      <w:r w:rsidRPr="00646620">
        <w:rPr>
          <w:rFonts w:ascii="Minion Pro" w:hAnsi="Minion Pro"/>
          <w:color w:val="FF0000"/>
          <w:szCs w:val="24"/>
        </w:rPr>
        <w:t xml:space="preserve"> </w:t>
      </w:r>
      <w:r w:rsidRPr="00646620">
        <w:rPr>
          <w:rFonts w:ascii="Minion Pro" w:hAnsi="Minion Pro"/>
          <w:szCs w:val="24"/>
        </w:rPr>
        <w:t>Micromounters’</w:t>
      </w:r>
      <w:r w:rsidRPr="00646620">
        <w:rPr>
          <w:rFonts w:ascii="Minion Pro" w:hAnsi="Minion Pro"/>
          <w:color w:val="FF0000"/>
          <w:szCs w:val="24"/>
        </w:rPr>
        <w:t xml:space="preserve"> </w:t>
      </w:r>
      <w:r w:rsidRPr="00646620">
        <w:rPr>
          <w:rFonts w:ascii="Minion Pro" w:hAnsi="Minion Pro"/>
          <w:szCs w:val="24"/>
        </w:rPr>
        <w:t xml:space="preserve">Hall of Fame to honor the founders and those who subsequently made outstanding contributions to the hobby of micromounting in the general field of mineralogy. </w:t>
      </w:r>
    </w:p>
    <w:p w14:paraId="71379560" w14:textId="77777777" w:rsidR="007A13F3" w:rsidRPr="00646620" w:rsidRDefault="007A13F3" w:rsidP="007A13F3">
      <w:pPr>
        <w:tabs>
          <w:tab w:val="left" w:pos="2520"/>
          <w:tab w:val="left" w:pos="5220"/>
          <w:tab w:val="left" w:pos="6840"/>
        </w:tabs>
        <w:ind w:left="1440" w:hanging="1440"/>
        <w:rPr>
          <w:rFonts w:ascii="Minion Pro" w:hAnsi="Minion Pro"/>
          <w:szCs w:val="24"/>
        </w:rPr>
      </w:pPr>
    </w:p>
    <w:p w14:paraId="7C6A662D" w14:textId="77777777" w:rsidR="007A13F3" w:rsidRPr="00646620" w:rsidRDefault="007A13F3" w:rsidP="007A13F3">
      <w:pPr>
        <w:tabs>
          <w:tab w:val="left" w:pos="2520"/>
          <w:tab w:val="left" w:pos="5220"/>
          <w:tab w:val="left" w:pos="6840"/>
        </w:tabs>
        <w:ind w:left="1440" w:hanging="1440"/>
        <w:rPr>
          <w:rFonts w:ascii="Minion Pro" w:hAnsi="Minion Pro"/>
          <w:szCs w:val="24"/>
        </w:rPr>
      </w:pPr>
      <w:r w:rsidRPr="00646620">
        <w:rPr>
          <w:rFonts w:ascii="Minion Pro" w:hAnsi="Minion Pro"/>
          <w:szCs w:val="24"/>
        </w:rPr>
        <w:t>NUMBERS:</w:t>
      </w:r>
      <w:r w:rsidRPr="00646620">
        <w:rPr>
          <w:rFonts w:ascii="Minion Pro" w:hAnsi="Minion Pro"/>
          <w:szCs w:val="24"/>
        </w:rPr>
        <w:tab/>
        <w:t>There will be a maximum of two candidates elected each year. In rare circumstances, two people (a husband and wife for example) may be elected as one candidate. There will be two types of member: Old Timer, and Modern.</w:t>
      </w:r>
    </w:p>
    <w:p w14:paraId="18DED88B" w14:textId="77777777" w:rsidR="007A13F3" w:rsidRPr="00646620" w:rsidRDefault="007A13F3" w:rsidP="007A13F3">
      <w:pPr>
        <w:tabs>
          <w:tab w:val="left" w:pos="2520"/>
          <w:tab w:val="left" w:pos="5220"/>
          <w:tab w:val="left" w:pos="6840"/>
        </w:tabs>
        <w:ind w:left="1440" w:hanging="1440"/>
        <w:rPr>
          <w:rFonts w:ascii="Minion Pro" w:hAnsi="Minion Pro"/>
          <w:szCs w:val="24"/>
        </w:rPr>
      </w:pPr>
    </w:p>
    <w:p w14:paraId="3825FA47" w14:textId="77777777" w:rsidR="007A13F3" w:rsidRPr="00646620" w:rsidRDefault="007A13F3" w:rsidP="007A13F3">
      <w:pPr>
        <w:tabs>
          <w:tab w:val="left" w:pos="2520"/>
          <w:tab w:val="left" w:pos="5220"/>
          <w:tab w:val="left" w:pos="6840"/>
        </w:tabs>
        <w:ind w:left="1440" w:hanging="1440"/>
        <w:rPr>
          <w:rFonts w:ascii="Minion Pro" w:hAnsi="Minion Pro"/>
          <w:szCs w:val="24"/>
        </w:rPr>
      </w:pPr>
      <w:r w:rsidRPr="00646620">
        <w:rPr>
          <w:rFonts w:ascii="Minion Pro" w:hAnsi="Minion Pro"/>
          <w:szCs w:val="24"/>
        </w:rPr>
        <w:t>ELIGIBILITY:   OLD TIMERS: 1878–1959</w:t>
      </w:r>
    </w:p>
    <w:p w14:paraId="23FF4EF6" w14:textId="77777777" w:rsidR="007A13F3" w:rsidRPr="00646620" w:rsidRDefault="007A13F3" w:rsidP="007A13F3">
      <w:pPr>
        <w:tabs>
          <w:tab w:val="left" w:pos="2520"/>
          <w:tab w:val="left" w:pos="5220"/>
          <w:tab w:val="left" w:pos="6840"/>
        </w:tabs>
        <w:ind w:left="1440" w:hanging="1440"/>
        <w:rPr>
          <w:rFonts w:ascii="Minion Pro" w:hAnsi="Minion Pro"/>
          <w:szCs w:val="24"/>
        </w:rPr>
      </w:pPr>
    </w:p>
    <w:p w14:paraId="1484ECB1" w14:textId="77777777" w:rsidR="007A13F3" w:rsidRPr="00646620" w:rsidRDefault="007A13F3" w:rsidP="007A13F3">
      <w:pPr>
        <w:tabs>
          <w:tab w:val="left" w:pos="2520"/>
          <w:tab w:val="left" w:pos="5220"/>
          <w:tab w:val="left" w:pos="6840"/>
        </w:tabs>
        <w:ind w:left="1100" w:hanging="560"/>
        <w:rPr>
          <w:rFonts w:ascii="Minion Pro" w:hAnsi="Minion Pro"/>
          <w:szCs w:val="24"/>
        </w:rPr>
      </w:pPr>
      <w:r w:rsidRPr="00646620">
        <w:rPr>
          <w:rFonts w:ascii="Minion Pro" w:hAnsi="Minion Pro"/>
          <w:szCs w:val="24"/>
        </w:rPr>
        <w:t>A.</w:t>
      </w:r>
      <w:r w:rsidRPr="00646620">
        <w:rPr>
          <w:rFonts w:ascii="Minion Pro" w:hAnsi="Minion Pro"/>
          <w:szCs w:val="24"/>
        </w:rPr>
        <w:tab/>
        <w:t>Founders of micromounting.</w:t>
      </w:r>
    </w:p>
    <w:p w14:paraId="4A78F40E" w14:textId="77777777" w:rsidR="007A13F3" w:rsidRPr="00646620" w:rsidRDefault="007A13F3" w:rsidP="007A13F3">
      <w:pPr>
        <w:tabs>
          <w:tab w:val="left" w:pos="2520"/>
          <w:tab w:val="left" w:pos="5220"/>
          <w:tab w:val="left" w:pos="6840"/>
        </w:tabs>
        <w:ind w:left="1100" w:hanging="560"/>
        <w:rPr>
          <w:rFonts w:ascii="Minion Pro" w:hAnsi="Minion Pro"/>
          <w:szCs w:val="24"/>
        </w:rPr>
      </w:pPr>
      <w:r w:rsidRPr="00646620">
        <w:rPr>
          <w:rFonts w:ascii="Minion Pro" w:hAnsi="Minion Pro"/>
          <w:szCs w:val="24"/>
        </w:rPr>
        <w:t>B.</w:t>
      </w:r>
      <w:r w:rsidRPr="00646620">
        <w:rPr>
          <w:rFonts w:ascii="Minion Pro" w:hAnsi="Minion Pro"/>
          <w:szCs w:val="24"/>
        </w:rPr>
        <w:tab/>
        <w:t>Outstanding contributors to the development of micromounting including collection and preservation of micromineral specimens, development of mounting</w:t>
      </w:r>
      <w:r w:rsidRPr="00646620">
        <w:rPr>
          <w:rFonts w:ascii="Minion Pro" w:hAnsi="Minion Pro"/>
          <w:color w:val="FF0000"/>
          <w:szCs w:val="24"/>
        </w:rPr>
        <w:t xml:space="preserve"> </w:t>
      </w:r>
      <w:r w:rsidRPr="00646620">
        <w:rPr>
          <w:rFonts w:ascii="Minion Pro" w:hAnsi="Minion Pro"/>
          <w:szCs w:val="24"/>
        </w:rPr>
        <w:t>and housing, collaboration with others which served to disseminate information valuable to the establishment of, and growth of micromounting.</w:t>
      </w:r>
    </w:p>
    <w:p w14:paraId="1D3787F1" w14:textId="77777777" w:rsidR="007A13F3" w:rsidRPr="00646620" w:rsidRDefault="007A13F3" w:rsidP="007A13F3">
      <w:pPr>
        <w:tabs>
          <w:tab w:val="left" w:pos="2520"/>
          <w:tab w:val="left" w:pos="5220"/>
          <w:tab w:val="left" w:pos="6840"/>
        </w:tabs>
        <w:ind w:left="1100" w:hanging="560"/>
        <w:rPr>
          <w:rFonts w:ascii="Minion Pro" w:hAnsi="Minion Pro"/>
          <w:szCs w:val="24"/>
        </w:rPr>
      </w:pPr>
    </w:p>
    <w:p w14:paraId="7666EDA2" w14:textId="77777777" w:rsidR="007A13F3" w:rsidRPr="00646620" w:rsidRDefault="007A13F3" w:rsidP="007A13F3">
      <w:pPr>
        <w:tabs>
          <w:tab w:val="left" w:pos="2520"/>
          <w:tab w:val="left" w:pos="5220"/>
          <w:tab w:val="left" w:pos="6840"/>
        </w:tabs>
        <w:ind w:left="1100" w:hanging="1100"/>
        <w:rPr>
          <w:rFonts w:ascii="Minion Pro" w:hAnsi="Minion Pro"/>
          <w:szCs w:val="24"/>
        </w:rPr>
      </w:pPr>
      <w:r w:rsidRPr="00646620">
        <w:rPr>
          <w:rFonts w:ascii="Minion Pro" w:hAnsi="Minion Pro"/>
          <w:szCs w:val="24"/>
        </w:rPr>
        <w:t>ELIGIBILITY:   MODERN: after 1959</w:t>
      </w:r>
    </w:p>
    <w:p w14:paraId="65B74BD2" w14:textId="77777777" w:rsidR="007A13F3" w:rsidRPr="00646620" w:rsidRDefault="007A13F3" w:rsidP="007A13F3">
      <w:pPr>
        <w:tabs>
          <w:tab w:val="left" w:pos="2520"/>
          <w:tab w:val="left" w:pos="5220"/>
          <w:tab w:val="left" w:pos="6840"/>
        </w:tabs>
        <w:rPr>
          <w:rFonts w:ascii="Minion Pro" w:hAnsi="Minion Pro"/>
          <w:szCs w:val="24"/>
        </w:rPr>
      </w:pPr>
    </w:p>
    <w:p w14:paraId="43E4ADC0" w14:textId="77777777" w:rsidR="007A13F3" w:rsidRPr="00646620" w:rsidRDefault="007A13F3" w:rsidP="007A13F3">
      <w:pPr>
        <w:tabs>
          <w:tab w:val="left" w:pos="2520"/>
          <w:tab w:val="left" w:pos="5220"/>
          <w:tab w:val="left" w:pos="6840"/>
        </w:tabs>
        <w:ind w:left="1100" w:hanging="560"/>
        <w:rPr>
          <w:rFonts w:ascii="Minion Pro" w:hAnsi="Minion Pro"/>
          <w:szCs w:val="24"/>
        </w:rPr>
      </w:pPr>
      <w:r w:rsidRPr="00646620">
        <w:rPr>
          <w:rFonts w:ascii="Minion Pro" w:hAnsi="Minion Pro"/>
          <w:szCs w:val="24"/>
        </w:rPr>
        <w:t>A.</w:t>
      </w:r>
      <w:r w:rsidRPr="00646620">
        <w:rPr>
          <w:rFonts w:ascii="Minion Pro" w:hAnsi="Minion Pro"/>
          <w:szCs w:val="24"/>
        </w:rPr>
        <w:tab/>
        <w:t>Assembly of a worthy and substantial micromount collection and arrangement for its preservation and accessibility for study and viewing by serious micromounters and mineralogists.</w:t>
      </w:r>
    </w:p>
    <w:p w14:paraId="36EA7F42" w14:textId="77777777" w:rsidR="007A13F3" w:rsidRPr="00646620" w:rsidRDefault="007A13F3" w:rsidP="007A13F3">
      <w:pPr>
        <w:tabs>
          <w:tab w:val="left" w:pos="2520"/>
          <w:tab w:val="left" w:pos="5220"/>
          <w:tab w:val="left" w:pos="6840"/>
        </w:tabs>
        <w:ind w:left="1100" w:hanging="560"/>
        <w:rPr>
          <w:rFonts w:ascii="Minion Pro" w:hAnsi="Minion Pro"/>
          <w:szCs w:val="24"/>
        </w:rPr>
      </w:pPr>
      <w:r w:rsidRPr="00646620">
        <w:rPr>
          <w:rFonts w:ascii="Minion Pro" w:hAnsi="Minion Pro"/>
          <w:szCs w:val="24"/>
        </w:rPr>
        <w:t>B.</w:t>
      </w:r>
      <w:r w:rsidRPr="00646620">
        <w:rPr>
          <w:rFonts w:ascii="Minion Pro" w:hAnsi="Minion Pro"/>
          <w:szCs w:val="24"/>
        </w:rPr>
        <w:tab/>
        <w:t>Author of a regular micromount column in recognized mineral publication(s) over a period of 15 or more years.</w:t>
      </w:r>
    </w:p>
    <w:p w14:paraId="5D20DF04" w14:textId="77777777" w:rsidR="007A13F3" w:rsidRPr="00646620" w:rsidRDefault="007A13F3" w:rsidP="007A13F3">
      <w:pPr>
        <w:tabs>
          <w:tab w:val="left" w:pos="2520"/>
          <w:tab w:val="left" w:pos="5220"/>
          <w:tab w:val="left" w:pos="6840"/>
        </w:tabs>
        <w:ind w:left="1100" w:hanging="560"/>
        <w:rPr>
          <w:rFonts w:ascii="Minion Pro" w:hAnsi="Minion Pro"/>
          <w:szCs w:val="24"/>
        </w:rPr>
      </w:pPr>
      <w:r w:rsidRPr="00646620">
        <w:rPr>
          <w:rFonts w:ascii="Minion Pro" w:hAnsi="Minion Pro"/>
          <w:szCs w:val="24"/>
        </w:rPr>
        <w:t>C.</w:t>
      </w:r>
      <w:r w:rsidRPr="00646620">
        <w:rPr>
          <w:rFonts w:ascii="Minion Pro" w:hAnsi="Minion Pro"/>
          <w:szCs w:val="24"/>
        </w:rPr>
        <w:tab/>
        <w:t>Founding a micromount symposium that continues regularly (annually) for fifteen or more years.</w:t>
      </w:r>
    </w:p>
    <w:p w14:paraId="511886B3" w14:textId="77777777" w:rsidR="007A13F3" w:rsidRPr="00646620" w:rsidRDefault="007A13F3" w:rsidP="007A13F3">
      <w:pPr>
        <w:tabs>
          <w:tab w:val="left" w:pos="2520"/>
          <w:tab w:val="left" w:pos="5220"/>
          <w:tab w:val="left" w:pos="6840"/>
        </w:tabs>
        <w:ind w:left="1100" w:hanging="560"/>
        <w:rPr>
          <w:rFonts w:ascii="Minion Pro" w:hAnsi="Minion Pro"/>
          <w:szCs w:val="24"/>
        </w:rPr>
      </w:pPr>
      <w:r w:rsidRPr="00646620">
        <w:rPr>
          <w:rFonts w:ascii="Minion Pro" w:hAnsi="Minion Pro"/>
          <w:szCs w:val="24"/>
        </w:rPr>
        <w:t>D.</w:t>
      </w:r>
      <w:r w:rsidRPr="00646620">
        <w:rPr>
          <w:rFonts w:ascii="Minion Pro" w:hAnsi="Minion Pro"/>
          <w:szCs w:val="24"/>
        </w:rPr>
        <w:tab/>
        <w:t>Photomicrography and building a library of micromount slides used regularly for education and pleasure of micromounters and others at micromount symposia, mineral shows, mineral club meetings and informal groups over a period of fifteen or more years.</w:t>
      </w:r>
    </w:p>
    <w:p w14:paraId="34F47099" w14:textId="77777777" w:rsidR="007A13F3" w:rsidRPr="00646620" w:rsidRDefault="007A13F3" w:rsidP="007A13F3">
      <w:pPr>
        <w:tabs>
          <w:tab w:val="left" w:pos="2520"/>
          <w:tab w:val="left" w:pos="5220"/>
          <w:tab w:val="left" w:pos="6840"/>
        </w:tabs>
        <w:ind w:left="1100" w:hanging="560"/>
        <w:rPr>
          <w:rFonts w:ascii="Minion Pro" w:hAnsi="Minion Pro"/>
          <w:szCs w:val="24"/>
        </w:rPr>
      </w:pPr>
      <w:r w:rsidRPr="00646620">
        <w:rPr>
          <w:rFonts w:ascii="Minion Pro" w:hAnsi="Minion Pro"/>
          <w:szCs w:val="24"/>
        </w:rPr>
        <w:t>E.</w:t>
      </w:r>
      <w:r w:rsidRPr="00646620">
        <w:rPr>
          <w:rFonts w:ascii="Minion Pro" w:hAnsi="Minion Pro"/>
          <w:szCs w:val="24"/>
        </w:rPr>
        <w:tab/>
        <w:t>Lectures, demonstrations, micromount slide programs and courses given on a more or less regular basis at micromount symposia, mineral shows, mineral club meetings and similar functions to educate and inform over a period of 15 or more years.</w:t>
      </w:r>
    </w:p>
    <w:p w14:paraId="209062D1" w14:textId="77777777" w:rsidR="007A13F3" w:rsidRPr="00646620" w:rsidRDefault="007A13F3" w:rsidP="007A13F3">
      <w:pPr>
        <w:tabs>
          <w:tab w:val="left" w:pos="2520"/>
          <w:tab w:val="left" w:pos="5220"/>
          <w:tab w:val="left" w:pos="6840"/>
        </w:tabs>
        <w:ind w:left="1100" w:hanging="560"/>
        <w:rPr>
          <w:rFonts w:ascii="Minion Pro" w:hAnsi="Minion Pro"/>
          <w:szCs w:val="24"/>
        </w:rPr>
      </w:pPr>
      <w:r w:rsidRPr="00646620">
        <w:rPr>
          <w:rFonts w:ascii="Minion Pro" w:hAnsi="Minion Pro"/>
          <w:szCs w:val="24"/>
        </w:rPr>
        <w:t>F.</w:t>
      </w:r>
      <w:r w:rsidRPr="00646620">
        <w:rPr>
          <w:rFonts w:ascii="Minion Pro" w:hAnsi="Minion Pro"/>
          <w:szCs w:val="24"/>
        </w:rPr>
        <w:tab/>
        <w:t>Founding a mineral club that has promoted micromounting for twenty or more years.</w:t>
      </w:r>
    </w:p>
    <w:p w14:paraId="5E2BBF78" w14:textId="77777777" w:rsidR="007A13F3" w:rsidRPr="00646620" w:rsidRDefault="007A13F3" w:rsidP="007A13F3">
      <w:pPr>
        <w:tabs>
          <w:tab w:val="left" w:pos="2520"/>
          <w:tab w:val="left" w:pos="5220"/>
          <w:tab w:val="left" w:pos="6840"/>
        </w:tabs>
        <w:ind w:left="1100" w:hanging="560"/>
        <w:rPr>
          <w:rFonts w:ascii="Minion Pro" w:hAnsi="Minion Pro"/>
          <w:szCs w:val="24"/>
        </w:rPr>
      </w:pPr>
      <w:r w:rsidRPr="00646620">
        <w:rPr>
          <w:rFonts w:ascii="Minion Pro" w:hAnsi="Minion Pro"/>
          <w:szCs w:val="24"/>
        </w:rPr>
        <w:t>G.</w:t>
      </w:r>
      <w:r w:rsidRPr="00646620">
        <w:rPr>
          <w:rFonts w:ascii="Minion Pro" w:hAnsi="Minion Pro"/>
          <w:szCs w:val="24"/>
        </w:rPr>
        <w:tab/>
        <w:t>Regular contributions to the health and growth of micromounting over a period of 20 or more years that are comparable in significance to one of items A through F above.</w:t>
      </w:r>
    </w:p>
    <w:p w14:paraId="4F5D4CBD" w14:textId="77777777" w:rsidR="007A13F3" w:rsidRPr="00646620" w:rsidRDefault="007A13F3" w:rsidP="007A13F3">
      <w:pPr>
        <w:tabs>
          <w:tab w:val="left" w:pos="2520"/>
          <w:tab w:val="left" w:pos="5220"/>
          <w:tab w:val="left" w:pos="6840"/>
        </w:tabs>
        <w:ind w:left="1100" w:hanging="560"/>
        <w:rPr>
          <w:rFonts w:ascii="Minion Pro" w:hAnsi="Minion Pro"/>
          <w:szCs w:val="24"/>
        </w:rPr>
      </w:pPr>
      <w:r w:rsidRPr="00646620">
        <w:rPr>
          <w:rFonts w:ascii="Minion Pro" w:hAnsi="Minion Pro"/>
          <w:szCs w:val="24"/>
        </w:rPr>
        <w:t>H.</w:t>
      </w:r>
      <w:r w:rsidRPr="00646620">
        <w:rPr>
          <w:rFonts w:ascii="Minion Pro" w:hAnsi="Minion Pro"/>
          <w:szCs w:val="24"/>
        </w:rPr>
        <w:tab/>
        <w:t xml:space="preserve">In rare cases, a single action that has brought substantial benefit across the spectrum of micromounting may be sufficient for election (see guideline below). </w:t>
      </w:r>
    </w:p>
    <w:p w14:paraId="1FB28A8F" w14:textId="77777777" w:rsidR="001F6609" w:rsidRDefault="001F6609" w:rsidP="007A13F3">
      <w:pPr>
        <w:tabs>
          <w:tab w:val="left" w:pos="2520"/>
          <w:tab w:val="left" w:pos="5220"/>
          <w:tab w:val="left" w:pos="6840"/>
        </w:tabs>
        <w:rPr>
          <w:rFonts w:ascii="Minion Pro" w:hAnsi="Minion Pro"/>
          <w:szCs w:val="24"/>
        </w:rPr>
      </w:pPr>
    </w:p>
    <w:p w14:paraId="6C5BF4B7" w14:textId="77777777" w:rsidR="007A13F3" w:rsidRDefault="007A13F3" w:rsidP="007A13F3">
      <w:pPr>
        <w:tabs>
          <w:tab w:val="left" w:pos="2520"/>
          <w:tab w:val="left" w:pos="5220"/>
          <w:tab w:val="left" w:pos="6840"/>
        </w:tabs>
        <w:rPr>
          <w:rFonts w:ascii="Minion Pro" w:hAnsi="Minion Pro"/>
          <w:szCs w:val="24"/>
        </w:rPr>
      </w:pPr>
    </w:p>
    <w:p w14:paraId="1EC80765" w14:textId="77777777" w:rsidR="007A13F3" w:rsidRPr="00646620" w:rsidRDefault="007A13F3" w:rsidP="007A13F3">
      <w:pPr>
        <w:tabs>
          <w:tab w:val="left" w:pos="2520"/>
          <w:tab w:val="left" w:pos="5220"/>
          <w:tab w:val="left" w:pos="6840"/>
        </w:tabs>
        <w:rPr>
          <w:rFonts w:ascii="Minion Pro" w:hAnsi="Minion Pro"/>
          <w:szCs w:val="24"/>
        </w:rPr>
      </w:pPr>
      <w:r w:rsidRPr="00646620">
        <w:rPr>
          <w:rFonts w:ascii="Minion Pro" w:hAnsi="Minion Pro"/>
          <w:szCs w:val="24"/>
        </w:rPr>
        <w:t>GUIDELINES FOR INTERPRETING ELIGIBILITY:</w:t>
      </w:r>
    </w:p>
    <w:p w14:paraId="7AD06B5B" w14:textId="77777777" w:rsidR="007A13F3" w:rsidRPr="00646620" w:rsidRDefault="007A13F3" w:rsidP="007A13F3">
      <w:pPr>
        <w:tabs>
          <w:tab w:val="left" w:pos="2520"/>
          <w:tab w:val="left" w:pos="5220"/>
          <w:tab w:val="left" w:pos="6840"/>
        </w:tabs>
        <w:rPr>
          <w:rFonts w:ascii="Minion Pro" w:hAnsi="Minion Pro"/>
          <w:szCs w:val="24"/>
        </w:rPr>
      </w:pPr>
    </w:p>
    <w:p w14:paraId="28B36EB5" w14:textId="77777777" w:rsidR="007A13F3" w:rsidRPr="00646620" w:rsidRDefault="007A13F3" w:rsidP="007A13F3">
      <w:pPr>
        <w:tabs>
          <w:tab w:val="left" w:pos="2520"/>
          <w:tab w:val="left" w:pos="5220"/>
          <w:tab w:val="left" w:pos="6840"/>
        </w:tabs>
        <w:ind w:firstLine="360"/>
        <w:rPr>
          <w:rFonts w:ascii="Minion Pro" w:hAnsi="Minion Pro"/>
          <w:szCs w:val="24"/>
        </w:rPr>
      </w:pPr>
      <w:r w:rsidRPr="00646620">
        <w:rPr>
          <w:rFonts w:ascii="Minion Pro" w:hAnsi="Minion Pro"/>
          <w:szCs w:val="24"/>
        </w:rPr>
        <w:t>Factors A to H above are the basic criteria to be considered when a micromounter is chosen for election to the Micromounters’ Hall of Fame. Within them, there are two conditions that are paramount. The first is service to the micromount community at large (though perhaps within geographical limitations), and the second is time. It takes time to develop a lasting reputation—something well recognized by the National Baseball Hall of Fame in their criteria.</w:t>
      </w:r>
    </w:p>
    <w:p w14:paraId="06AAD7EB" w14:textId="77777777" w:rsidR="007A13F3" w:rsidRPr="00646620" w:rsidRDefault="007A13F3" w:rsidP="007A13F3">
      <w:pPr>
        <w:tabs>
          <w:tab w:val="left" w:pos="2520"/>
          <w:tab w:val="left" w:pos="5220"/>
          <w:tab w:val="left" w:pos="6840"/>
        </w:tabs>
        <w:ind w:firstLine="360"/>
        <w:rPr>
          <w:rFonts w:ascii="Minion Pro" w:hAnsi="Minion Pro"/>
          <w:szCs w:val="24"/>
        </w:rPr>
      </w:pPr>
    </w:p>
    <w:p w14:paraId="632A14C1" w14:textId="77777777" w:rsidR="007A13F3" w:rsidRPr="00646620" w:rsidRDefault="007A13F3" w:rsidP="007A13F3">
      <w:pPr>
        <w:tabs>
          <w:tab w:val="left" w:pos="2520"/>
          <w:tab w:val="left" w:pos="5220"/>
          <w:tab w:val="left" w:pos="6840"/>
        </w:tabs>
        <w:ind w:left="1109" w:hanging="562"/>
        <w:rPr>
          <w:rFonts w:ascii="Minion Pro" w:hAnsi="Minion Pro"/>
          <w:szCs w:val="24"/>
        </w:rPr>
      </w:pPr>
      <w:r w:rsidRPr="00646620">
        <w:rPr>
          <w:rFonts w:ascii="Minion Pro" w:hAnsi="Minion Pro"/>
          <w:szCs w:val="24"/>
        </w:rPr>
        <w:lastRenderedPageBreak/>
        <w:t>A.</w:t>
      </w:r>
      <w:r w:rsidRPr="00646620">
        <w:rPr>
          <w:rFonts w:ascii="Minion Pro" w:hAnsi="Minion Pro"/>
          <w:szCs w:val="24"/>
        </w:rPr>
        <w:tab/>
        <w:t>“Worthy and substantial” do not necessarily imply size. A collection of 500 mounts of superb specimens from a single location may be more worthy than a collection of 5,000 run-of-the-mill specimens. The prime considerations should be scientific value and accessibility.</w:t>
      </w:r>
    </w:p>
    <w:p w14:paraId="606B2DC4" w14:textId="77777777" w:rsidR="007A13F3" w:rsidRPr="00646620" w:rsidRDefault="007A13F3" w:rsidP="007A13F3">
      <w:pPr>
        <w:tabs>
          <w:tab w:val="left" w:pos="2520"/>
          <w:tab w:val="left" w:pos="5220"/>
          <w:tab w:val="left" w:pos="6840"/>
        </w:tabs>
        <w:ind w:left="1109" w:hanging="562"/>
        <w:rPr>
          <w:rFonts w:ascii="Minion Pro" w:hAnsi="Minion Pro"/>
          <w:szCs w:val="24"/>
        </w:rPr>
      </w:pPr>
      <w:r w:rsidRPr="00646620">
        <w:rPr>
          <w:rFonts w:ascii="Minion Pro" w:hAnsi="Minion Pro"/>
          <w:szCs w:val="24"/>
        </w:rPr>
        <w:t>B.</w:t>
      </w:r>
      <w:r w:rsidRPr="00646620">
        <w:rPr>
          <w:rFonts w:ascii="Minion Pro" w:hAnsi="Minion Pro"/>
          <w:szCs w:val="24"/>
        </w:rPr>
        <w:tab/>
        <w:t xml:space="preserve">The question of what is a “recognized mineral publication” should be considered. Publication in a professional journal such as the </w:t>
      </w:r>
      <w:r w:rsidRPr="00646620">
        <w:rPr>
          <w:rFonts w:ascii="Minion Pro" w:hAnsi="Minion Pro"/>
          <w:i/>
          <w:szCs w:val="24"/>
        </w:rPr>
        <w:t>American Mineralogis</w:t>
      </w:r>
      <w:r w:rsidRPr="00646620">
        <w:rPr>
          <w:rFonts w:ascii="Minion Pro" w:hAnsi="Minion Pro"/>
          <w:szCs w:val="24"/>
        </w:rPr>
        <w:t xml:space="preserve">t or </w:t>
      </w:r>
      <w:r w:rsidRPr="00646620">
        <w:rPr>
          <w:rFonts w:ascii="Minion Pro" w:hAnsi="Minion Pro"/>
          <w:i/>
          <w:szCs w:val="24"/>
        </w:rPr>
        <w:t>Mineralogical Record</w:t>
      </w:r>
      <w:r w:rsidRPr="00646620">
        <w:rPr>
          <w:rFonts w:ascii="Minion Pro" w:hAnsi="Minion Pro"/>
          <w:szCs w:val="24"/>
        </w:rPr>
        <w:t xml:space="preserve"> is a plus. Publication in a club newsletter calls for quality interpretation on the part of the Board.</w:t>
      </w:r>
    </w:p>
    <w:p w14:paraId="0AC7A980" w14:textId="77777777" w:rsidR="007A13F3" w:rsidRPr="00646620" w:rsidRDefault="007A13F3" w:rsidP="007A13F3">
      <w:pPr>
        <w:tabs>
          <w:tab w:val="left" w:pos="2520"/>
          <w:tab w:val="left" w:pos="5220"/>
          <w:tab w:val="left" w:pos="6840"/>
        </w:tabs>
        <w:ind w:left="1109" w:hanging="562"/>
        <w:rPr>
          <w:rFonts w:ascii="Minion Pro" w:hAnsi="Minion Pro"/>
          <w:szCs w:val="24"/>
        </w:rPr>
      </w:pPr>
      <w:r w:rsidRPr="00646620">
        <w:rPr>
          <w:rFonts w:ascii="Minion Pro" w:hAnsi="Minion Pro"/>
          <w:szCs w:val="24"/>
        </w:rPr>
        <w:t>C.</w:t>
      </w:r>
      <w:r w:rsidRPr="00646620">
        <w:rPr>
          <w:rFonts w:ascii="Minion Pro" w:hAnsi="Minion Pro"/>
          <w:szCs w:val="24"/>
        </w:rPr>
        <w:tab/>
        <w:t>Is self-explanatory.</w:t>
      </w:r>
    </w:p>
    <w:p w14:paraId="28BE3931" w14:textId="77777777" w:rsidR="007A13F3" w:rsidRPr="00646620" w:rsidRDefault="007A13F3" w:rsidP="007A13F3">
      <w:pPr>
        <w:tabs>
          <w:tab w:val="left" w:pos="2520"/>
          <w:tab w:val="left" w:pos="5220"/>
          <w:tab w:val="left" w:pos="6840"/>
        </w:tabs>
        <w:ind w:left="1109" w:hanging="562"/>
        <w:rPr>
          <w:rFonts w:ascii="Minion Pro" w:hAnsi="Minion Pro"/>
          <w:szCs w:val="24"/>
          <w:vertAlign w:val="superscript"/>
        </w:rPr>
      </w:pPr>
      <w:r w:rsidRPr="00646620">
        <w:rPr>
          <w:rFonts w:ascii="Minion Pro" w:hAnsi="Minion Pro"/>
          <w:szCs w:val="24"/>
        </w:rPr>
        <w:t xml:space="preserve">D.  </w:t>
      </w:r>
      <w:r w:rsidRPr="00646620">
        <w:rPr>
          <w:rFonts w:ascii="Minion Pro" w:hAnsi="Minion Pro"/>
          <w:szCs w:val="24"/>
        </w:rPr>
        <w:tab/>
        <w:t xml:space="preserve">There is a certain overlap with factor E, but it is possible that </w:t>
      </w:r>
      <w:proofErr w:type="gramStart"/>
      <w:r w:rsidRPr="00646620">
        <w:rPr>
          <w:rFonts w:ascii="Minion Pro" w:hAnsi="Minion Pro"/>
          <w:szCs w:val="24"/>
        </w:rPr>
        <w:t>photomicrographs may be taken by a candidate who is not a lecturer</w:t>
      </w:r>
      <w:proofErr w:type="gramEnd"/>
      <w:r w:rsidRPr="00646620">
        <w:rPr>
          <w:rFonts w:ascii="Minion Pro" w:hAnsi="Minion Pro"/>
          <w:szCs w:val="24"/>
        </w:rPr>
        <w:t>. They could be used in publications, museums, displays, or made available to others who can use them in lectures. Again, the critical consideration is how much the product is of use to others.</w:t>
      </w:r>
    </w:p>
    <w:p w14:paraId="24A4CE4A" w14:textId="77777777" w:rsidR="007A13F3" w:rsidRPr="00646620" w:rsidRDefault="007A13F3" w:rsidP="007A13F3">
      <w:pPr>
        <w:tabs>
          <w:tab w:val="left" w:pos="2520"/>
          <w:tab w:val="left" w:pos="5220"/>
          <w:tab w:val="left" w:pos="6840"/>
        </w:tabs>
        <w:ind w:left="1109" w:hanging="562"/>
        <w:rPr>
          <w:rFonts w:ascii="Minion Pro" w:hAnsi="Minion Pro"/>
          <w:szCs w:val="24"/>
        </w:rPr>
      </w:pPr>
      <w:r w:rsidRPr="00646620">
        <w:rPr>
          <w:rFonts w:ascii="Minion Pro" w:hAnsi="Minion Pro"/>
          <w:szCs w:val="24"/>
        </w:rPr>
        <w:t>E.</w:t>
      </w:r>
      <w:r w:rsidRPr="00646620">
        <w:rPr>
          <w:rFonts w:ascii="Minion Pro" w:hAnsi="Minion Pro"/>
          <w:szCs w:val="24"/>
        </w:rPr>
        <w:tab/>
        <w:t>There is an overlap with D, above, but essentially the factor is self-explanatory. It is likely that most candidates will be nominated with this factor as a primary consideration.</w:t>
      </w:r>
      <w:r w:rsidRPr="00646620">
        <w:rPr>
          <w:rFonts w:ascii="Minion Pro" w:hAnsi="Minion Pro"/>
          <w:szCs w:val="24"/>
          <w:vertAlign w:val="superscript"/>
        </w:rPr>
        <w:t>2</w:t>
      </w:r>
    </w:p>
    <w:p w14:paraId="618ABD47" w14:textId="77777777" w:rsidR="007A13F3" w:rsidRPr="00646620" w:rsidRDefault="007A13F3" w:rsidP="007A13F3">
      <w:pPr>
        <w:tabs>
          <w:tab w:val="left" w:pos="2520"/>
          <w:tab w:val="left" w:pos="5220"/>
          <w:tab w:val="left" w:pos="6840"/>
        </w:tabs>
        <w:ind w:left="1109" w:hanging="562"/>
        <w:rPr>
          <w:rFonts w:ascii="Minion Pro" w:hAnsi="Minion Pro"/>
          <w:szCs w:val="24"/>
        </w:rPr>
      </w:pPr>
      <w:r w:rsidRPr="00646620">
        <w:rPr>
          <w:rFonts w:ascii="Minion Pro" w:hAnsi="Minion Pro"/>
          <w:szCs w:val="24"/>
        </w:rPr>
        <w:t>F.</w:t>
      </w:r>
      <w:r w:rsidRPr="00646620">
        <w:rPr>
          <w:rFonts w:ascii="Minion Pro" w:hAnsi="Minion Pro"/>
          <w:szCs w:val="24"/>
        </w:rPr>
        <w:tab/>
        <w:t>Is self-explanatory.</w:t>
      </w:r>
    </w:p>
    <w:p w14:paraId="228C492D" w14:textId="77777777" w:rsidR="007A13F3" w:rsidRPr="00646620" w:rsidRDefault="007A13F3" w:rsidP="007A13F3">
      <w:pPr>
        <w:tabs>
          <w:tab w:val="left" w:pos="2520"/>
          <w:tab w:val="left" w:pos="5220"/>
          <w:tab w:val="left" w:pos="6840"/>
        </w:tabs>
        <w:ind w:left="1109" w:hanging="562"/>
        <w:rPr>
          <w:rFonts w:ascii="Minion Pro" w:hAnsi="Minion Pro"/>
          <w:szCs w:val="24"/>
        </w:rPr>
      </w:pPr>
      <w:r w:rsidRPr="00646620">
        <w:rPr>
          <w:rFonts w:ascii="Minion Pro" w:hAnsi="Minion Pro"/>
          <w:szCs w:val="24"/>
        </w:rPr>
        <w:t>G.</w:t>
      </w:r>
      <w:r w:rsidRPr="00646620">
        <w:rPr>
          <w:rFonts w:ascii="Minion Pro" w:hAnsi="Minion Pro"/>
          <w:szCs w:val="24"/>
        </w:rPr>
        <w:tab/>
        <w:t xml:space="preserve">This is a </w:t>
      </w:r>
      <w:proofErr w:type="gramStart"/>
      <w:r w:rsidRPr="00646620">
        <w:rPr>
          <w:rFonts w:ascii="Minion Pro" w:hAnsi="Minion Pro"/>
          <w:szCs w:val="24"/>
        </w:rPr>
        <w:t>catch-all</w:t>
      </w:r>
      <w:proofErr w:type="gramEnd"/>
      <w:r w:rsidRPr="00646620">
        <w:rPr>
          <w:rFonts w:ascii="Minion Pro" w:hAnsi="Minion Pro"/>
          <w:szCs w:val="24"/>
        </w:rPr>
        <w:t xml:space="preserve"> factor requiring careful thought. What is the contribution, and how much service has it been to others? </w:t>
      </w:r>
    </w:p>
    <w:p w14:paraId="7AE00AE7" w14:textId="77777777" w:rsidR="007A13F3" w:rsidRPr="00646620" w:rsidRDefault="007A13F3" w:rsidP="007A13F3">
      <w:pPr>
        <w:tabs>
          <w:tab w:val="left" w:pos="2520"/>
          <w:tab w:val="left" w:pos="5220"/>
          <w:tab w:val="left" w:pos="6840"/>
        </w:tabs>
        <w:ind w:left="1109" w:hanging="562"/>
        <w:rPr>
          <w:rFonts w:ascii="Minion Pro" w:hAnsi="Minion Pro"/>
          <w:szCs w:val="24"/>
        </w:rPr>
      </w:pPr>
      <w:r w:rsidRPr="00646620">
        <w:rPr>
          <w:rFonts w:ascii="Minion Pro" w:hAnsi="Minion Pro"/>
          <w:szCs w:val="24"/>
        </w:rPr>
        <w:t>H.</w:t>
      </w:r>
      <w:r w:rsidRPr="00646620">
        <w:rPr>
          <w:rFonts w:ascii="Minion Pro" w:hAnsi="Minion Pro"/>
          <w:szCs w:val="24"/>
        </w:rPr>
        <w:tab/>
        <w:t>H is again self-explanatory, but it has the added consideration that it is the only factor not limited by time. Examples might be the creation of a tool used by a large proportion of the community (</w:t>
      </w:r>
      <w:proofErr w:type="spellStart"/>
      <w:r w:rsidRPr="00646620">
        <w:rPr>
          <w:rFonts w:ascii="Minion Pro" w:hAnsi="Minion Pro"/>
          <w:i/>
          <w:szCs w:val="24"/>
        </w:rPr>
        <w:t>viz</w:t>
      </w:r>
      <w:proofErr w:type="spellEnd"/>
      <w:r w:rsidRPr="00646620">
        <w:rPr>
          <w:rFonts w:ascii="Minion Pro" w:hAnsi="Minion Pro"/>
          <w:szCs w:val="24"/>
        </w:rPr>
        <w:t xml:space="preserve"> the Yost trimmer), or publication of a book (such as that of Milton </w:t>
      </w:r>
      <w:proofErr w:type="spellStart"/>
      <w:r w:rsidRPr="00646620">
        <w:rPr>
          <w:rFonts w:ascii="Minion Pro" w:hAnsi="Minion Pro"/>
          <w:szCs w:val="24"/>
        </w:rPr>
        <w:t>Speckels</w:t>
      </w:r>
      <w:proofErr w:type="spellEnd"/>
      <w:r w:rsidRPr="00646620">
        <w:rPr>
          <w:rFonts w:ascii="Minion Pro" w:hAnsi="Minion Pro"/>
          <w:szCs w:val="24"/>
        </w:rPr>
        <w:t>).</w:t>
      </w:r>
    </w:p>
    <w:p w14:paraId="000F2BAB" w14:textId="77777777" w:rsidR="007A13F3" w:rsidRPr="00646620" w:rsidRDefault="007A13F3" w:rsidP="007A13F3">
      <w:pPr>
        <w:tabs>
          <w:tab w:val="left" w:pos="2520"/>
          <w:tab w:val="left" w:pos="5220"/>
          <w:tab w:val="left" w:pos="6840"/>
        </w:tabs>
        <w:ind w:left="1100" w:hanging="560"/>
        <w:rPr>
          <w:rFonts w:ascii="Minion Pro" w:hAnsi="Minion Pro"/>
          <w:szCs w:val="24"/>
        </w:rPr>
      </w:pPr>
    </w:p>
    <w:p w14:paraId="610AFA63" w14:textId="77777777" w:rsidR="007A13F3" w:rsidRPr="00646620" w:rsidRDefault="007A13F3" w:rsidP="007A13F3">
      <w:pPr>
        <w:tabs>
          <w:tab w:val="left" w:pos="1944"/>
          <w:tab w:val="left" w:pos="2040"/>
          <w:tab w:val="left" w:pos="5220"/>
          <w:tab w:val="left" w:pos="6840"/>
        </w:tabs>
        <w:ind w:left="1100" w:hanging="1100"/>
        <w:rPr>
          <w:rFonts w:ascii="Minion Pro" w:hAnsi="Minion Pro"/>
          <w:szCs w:val="24"/>
        </w:rPr>
      </w:pPr>
      <w:r w:rsidRPr="00646620">
        <w:rPr>
          <w:rFonts w:ascii="Minion Pro" w:hAnsi="Minion Pro"/>
          <w:szCs w:val="24"/>
        </w:rPr>
        <w:t>NOMINATIONS:</w:t>
      </w:r>
      <w:r w:rsidRPr="00646620">
        <w:rPr>
          <w:rFonts w:ascii="Minion Pro" w:hAnsi="Minion Pro"/>
          <w:szCs w:val="24"/>
        </w:rPr>
        <w:tab/>
        <w:t xml:space="preserve"> Nominations for election to the Micromounters’ Hall of Fame may be made by anyone, but must be accompanied by a full explanation of how well the candidate fits the eligibility factors listed above. Supporting documentation may be required. Endorsement by a current member of the Micromounters’ Hall of Fame may be an asset, but is not required. Nominations should be sent to the Coordinator of the Micromounters’ Hall of Fame specified by the Baltimore Mineral Society. The current Coordinator is Quintin Wight, 525 Fielding Drive, Ottawa, ON, Canada, K1V 7G7, e-mail: qwight@sympatico.ca.</w:t>
      </w:r>
    </w:p>
    <w:p w14:paraId="7D349BCD" w14:textId="77777777" w:rsidR="007A13F3" w:rsidRPr="00646620" w:rsidRDefault="007A13F3" w:rsidP="007A13F3">
      <w:pPr>
        <w:tabs>
          <w:tab w:val="left" w:pos="2040"/>
          <w:tab w:val="left" w:pos="5220"/>
          <w:tab w:val="left" w:pos="6840"/>
        </w:tabs>
        <w:rPr>
          <w:rFonts w:ascii="Minion Pro" w:hAnsi="Minion Pro"/>
          <w:szCs w:val="24"/>
        </w:rPr>
      </w:pPr>
    </w:p>
    <w:p w14:paraId="664A0E44" w14:textId="08BA950A" w:rsidR="007A13F3" w:rsidRPr="00646620" w:rsidRDefault="00B43AF3" w:rsidP="007A13F3">
      <w:pPr>
        <w:tabs>
          <w:tab w:val="left" w:pos="2040"/>
          <w:tab w:val="left" w:pos="5220"/>
          <w:tab w:val="left" w:pos="6840"/>
        </w:tabs>
        <w:ind w:left="1100" w:hanging="1100"/>
        <w:rPr>
          <w:rFonts w:ascii="Minion Pro" w:hAnsi="Minion Pro"/>
          <w:szCs w:val="24"/>
        </w:rPr>
      </w:pPr>
      <w:r>
        <w:rPr>
          <w:rFonts w:ascii="Minion Pro" w:hAnsi="Minion Pro"/>
          <w:szCs w:val="24"/>
        </w:rPr>
        <w:t xml:space="preserve">ELECTION:  </w:t>
      </w:r>
      <w:r w:rsidR="007A13F3" w:rsidRPr="00646620">
        <w:rPr>
          <w:rFonts w:ascii="Minion Pro" w:hAnsi="Minion Pro"/>
          <w:szCs w:val="24"/>
        </w:rPr>
        <w:t>Nominations received by May 1</w:t>
      </w:r>
      <w:r w:rsidR="007A13F3" w:rsidRPr="00646620">
        <w:rPr>
          <w:rFonts w:ascii="Minion Pro" w:hAnsi="Minion Pro"/>
          <w:szCs w:val="24"/>
          <w:vertAlign w:val="superscript"/>
        </w:rPr>
        <w:t>st</w:t>
      </w:r>
      <w:r w:rsidR="007A13F3" w:rsidRPr="00646620">
        <w:rPr>
          <w:rFonts w:ascii="Minion Pro" w:hAnsi="Minion Pro"/>
          <w:szCs w:val="24"/>
        </w:rPr>
        <w:t xml:space="preserve"> are coordinated and forwarded by the Coordinator to the Executive Board of the Baltimore Mineral Society for consideration at their annual meeting in June. When the Board has selected one or two candidates, the names are returned to the Coordinator, who then forwards them (in confidence) to all current members of the Hall of Fame with a request for validation by August 30th. Because the selection has been made on the basis of submitted evidence, current members cannot challenge a candidate’s qualifications unless there is new or corrected evidence, including hitherto unknown or undisclosed ethical or behavioral grounds. If there are no objections, the names are announced at the following Paul </w:t>
      </w:r>
      <w:proofErr w:type="spellStart"/>
      <w:r w:rsidR="007A13F3" w:rsidRPr="00646620">
        <w:rPr>
          <w:rFonts w:ascii="Minion Pro" w:hAnsi="Minion Pro"/>
          <w:szCs w:val="24"/>
        </w:rPr>
        <w:t>Desautels</w:t>
      </w:r>
      <w:proofErr w:type="spellEnd"/>
      <w:r w:rsidR="007A13F3" w:rsidRPr="00646620">
        <w:rPr>
          <w:rFonts w:ascii="Minion Pro" w:hAnsi="Minion Pro"/>
          <w:szCs w:val="24"/>
        </w:rPr>
        <w:t xml:space="preserve"> Memorial Micromount Symposium, and published in </w:t>
      </w:r>
      <w:r w:rsidR="007A13F3" w:rsidRPr="00646620">
        <w:rPr>
          <w:rFonts w:ascii="Minion Pro" w:hAnsi="Minion Pro"/>
          <w:i/>
          <w:szCs w:val="24"/>
        </w:rPr>
        <w:t>Rocks &amp; Minerals</w:t>
      </w:r>
      <w:r w:rsidR="007A13F3" w:rsidRPr="00646620">
        <w:rPr>
          <w:rFonts w:ascii="Minion Pro" w:hAnsi="Minion Pro"/>
          <w:szCs w:val="24"/>
        </w:rPr>
        <w:t xml:space="preserve">. </w:t>
      </w:r>
    </w:p>
    <w:p w14:paraId="42123E37" w14:textId="77777777" w:rsidR="007A13F3" w:rsidRPr="00646620" w:rsidRDefault="007A13F3" w:rsidP="007A13F3">
      <w:pPr>
        <w:tabs>
          <w:tab w:val="left" w:pos="2040"/>
          <w:tab w:val="left" w:pos="5220"/>
          <w:tab w:val="left" w:pos="6840"/>
        </w:tabs>
        <w:ind w:left="1100" w:hanging="1100"/>
        <w:rPr>
          <w:rFonts w:ascii="Minion Pro" w:hAnsi="Minion Pro"/>
          <w:szCs w:val="24"/>
        </w:rPr>
      </w:pPr>
    </w:p>
    <w:p w14:paraId="50E992F4" w14:textId="4E4EBEBC" w:rsidR="007A13F3" w:rsidRPr="00646620" w:rsidRDefault="00B43AF3" w:rsidP="007A13F3">
      <w:pPr>
        <w:tabs>
          <w:tab w:val="left" w:pos="2040"/>
          <w:tab w:val="left" w:pos="5220"/>
          <w:tab w:val="left" w:pos="6840"/>
        </w:tabs>
        <w:ind w:left="1100" w:hanging="1100"/>
        <w:rPr>
          <w:rFonts w:ascii="Minion Pro" w:hAnsi="Minion Pro"/>
          <w:szCs w:val="24"/>
        </w:rPr>
      </w:pPr>
      <w:r>
        <w:rPr>
          <w:rFonts w:ascii="Minion Pro" w:hAnsi="Minion Pro"/>
          <w:szCs w:val="24"/>
        </w:rPr>
        <w:t xml:space="preserve">INDUCTION:  </w:t>
      </w:r>
      <w:r w:rsidR="007A13F3" w:rsidRPr="00646620">
        <w:rPr>
          <w:rFonts w:ascii="Minion Pro" w:hAnsi="Minion Pro"/>
          <w:szCs w:val="24"/>
        </w:rPr>
        <w:t xml:space="preserve">Formal induction to the Hall of Fame will be carried out in the year following a candidate’s election. </w:t>
      </w:r>
      <w:proofErr w:type="gramStart"/>
      <w:r w:rsidR="007A13F3" w:rsidRPr="00646620">
        <w:rPr>
          <w:rFonts w:ascii="Minion Pro" w:hAnsi="Minion Pro"/>
          <w:szCs w:val="24"/>
        </w:rPr>
        <w:t>The induction ceremony should be conducted by a current member of the Hall of Fame</w:t>
      </w:r>
      <w:proofErr w:type="gramEnd"/>
    </w:p>
    <w:p w14:paraId="2BB785B7" w14:textId="77777777" w:rsidR="007A13F3" w:rsidRPr="00646620" w:rsidRDefault="007A13F3" w:rsidP="007A13F3">
      <w:pPr>
        <w:tabs>
          <w:tab w:val="left" w:pos="2040"/>
          <w:tab w:val="left" w:pos="5220"/>
          <w:tab w:val="left" w:pos="6840"/>
        </w:tabs>
        <w:ind w:left="1100" w:hanging="1100"/>
        <w:rPr>
          <w:rFonts w:ascii="Minion Pro" w:hAnsi="Minion Pro"/>
          <w:szCs w:val="24"/>
        </w:rPr>
      </w:pPr>
    </w:p>
    <w:p w14:paraId="3A91869C" w14:textId="77777777" w:rsidR="007A13F3" w:rsidRPr="00646620" w:rsidRDefault="007A13F3" w:rsidP="007A13F3">
      <w:pPr>
        <w:tabs>
          <w:tab w:val="left" w:pos="2040"/>
          <w:tab w:val="left" w:pos="5220"/>
          <w:tab w:val="left" w:pos="6840"/>
        </w:tabs>
        <w:ind w:left="1100" w:hanging="1100"/>
        <w:rPr>
          <w:rFonts w:ascii="Minion Pro" w:hAnsi="Minion Pro"/>
          <w:szCs w:val="24"/>
        </w:rPr>
      </w:pPr>
      <w:r w:rsidRPr="00646620">
        <w:rPr>
          <w:rFonts w:ascii="Minion Pro" w:hAnsi="Minion Pro"/>
          <w:szCs w:val="24"/>
        </w:rPr>
        <w:t>MEMORABILIA:</w:t>
      </w:r>
      <w:r w:rsidRPr="00646620">
        <w:rPr>
          <w:rFonts w:ascii="Minion Pro" w:hAnsi="Minion Pro"/>
          <w:szCs w:val="24"/>
        </w:rPr>
        <w:tab/>
        <w:t>Hall of Fame members are encouraged to donate memorabilia reflecting the accomplishments that led to their election. Such memorabilia will become the property of the Baltimore Mineral Society. At the discretion of the Society, selected items may be exhibited during micromount symposia. The symposia may be those sponsored by the Society, or by others in the form of a travelling display. Again at the discretion of the Society, donated items deemed to be duplicates or not of sufficient reference to micromounting may be disposed of by sale or further donation.</w:t>
      </w:r>
    </w:p>
    <w:p w14:paraId="7BE5F34C" w14:textId="77777777" w:rsidR="007A13F3" w:rsidRPr="00646620" w:rsidRDefault="007A13F3" w:rsidP="007A13F3">
      <w:pPr>
        <w:tabs>
          <w:tab w:val="left" w:pos="2040"/>
          <w:tab w:val="left" w:pos="5220"/>
          <w:tab w:val="left" w:pos="6840"/>
        </w:tabs>
        <w:rPr>
          <w:rFonts w:ascii="Minion Pro" w:hAnsi="Minion Pro"/>
          <w:szCs w:val="24"/>
        </w:rPr>
      </w:pPr>
    </w:p>
    <w:p w14:paraId="629886E2" w14:textId="77777777" w:rsidR="007A13F3" w:rsidRPr="00EA234C" w:rsidRDefault="007A13F3" w:rsidP="009E4826">
      <w:pPr>
        <w:rPr>
          <w:rFonts w:ascii="Minion Pro" w:hAnsi="Minion Pro" w:cstheme="minorBidi"/>
          <w:szCs w:val="24"/>
        </w:rPr>
      </w:pPr>
    </w:p>
    <w:sectPr w:rsidR="007A13F3" w:rsidRPr="00EA234C" w:rsidSect="00B43AF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Warnock Pro">
    <w:altName w:val="Lucida Grande"/>
    <w:charset w:val="00"/>
    <w:family w:val="auto"/>
    <w:pitch w:val="variable"/>
    <w:sig w:usb0="A00002AF" w:usb1="5000205B" w:usb2="00000000" w:usb3="00000000" w:csb0="0000009F" w:csb1="00000000"/>
  </w:font>
  <w:font w:name="Minion Pro">
    <w:panose1 w:val="02040503050201020203"/>
    <w:charset w:val="00"/>
    <w:family w:val="auto"/>
    <w:pitch w:val="variable"/>
    <w:sig w:usb0="60000287" w:usb1="00000001"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26"/>
    <w:rsid w:val="00137172"/>
    <w:rsid w:val="001F6609"/>
    <w:rsid w:val="00284625"/>
    <w:rsid w:val="002B340D"/>
    <w:rsid w:val="003311CF"/>
    <w:rsid w:val="003E6F53"/>
    <w:rsid w:val="005366C6"/>
    <w:rsid w:val="007A13F3"/>
    <w:rsid w:val="008F101E"/>
    <w:rsid w:val="009374DF"/>
    <w:rsid w:val="009E4826"/>
    <w:rsid w:val="00A14FA8"/>
    <w:rsid w:val="00B43AF3"/>
    <w:rsid w:val="00B711D8"/>
    <w:rsid w:val="00BC2B52"/>
    <w:rsid w:val="00E82726"/>
    <w:rsid w:val="00EA234C"/>
    <w:rsid w:val="00FE74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759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 Warnock"/>
    <w:qFormat/>
    <w:rsid w:val="00137172"/>
    <w:pPr>
      <w:spacing w:after="0"/>
    </w:pPr>
    <w:rPr>
      <w:rFonts w:ascii="Warnock Pro" w:hAnsi="Warnock Pro"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StyleDouble">
    <w:name w:val="Q. Style Double"/>
    <w:basedOn w:val="Normal"/>
    <w:rsid w:val="00BC2B52"/>
    <w:pPr>
      <w:spacing w:line="480" w:lineRule="auto"/>
      <w:ind w:firstLine="360"/>
    </w:pPr>
  </w:style>
  <w:style w:type="paragraph" w:customStyle="1" w:styleId="WarnockStyle1">
    <w:name w:val="Warnock Style1"/>
    <w:basedOn w:val="Normal"/>
    <w:rsid w:val="00284625"/>
    <w:pPr>
      <w:ind w:firstLine="360"/>
    </w:pPr>
  </w:style>
  <w:style w:type="paragraph" w:customStyle="1" w:styleId="QStyleMinion">
    <w:name w:val="Q Style Minion"/>
    <w:basedOn w:val="Normal"/>
    <w:qFormat/>
    <w:rsid w:val="00E82726"/>
    <w:pPr>
      <w:widowControl w:val="0"/>
      <w:spacing w:line="360" w:lineRule="auto"/>
      <w:ind w:firstLine="360"/>
      <w:contextualSpacing/>
    </w:pPr>
    <w:rPr>
      <w:rFonts w:ascii="Minion Pro" w:hAnsi="Minion Pro" w:cstheme="minorBidi"/>
      <w:color w:val="000000"/>
      <w:szCs w:val="24"/>
    </w:rPr>
  </w:style>
  <w:style w:type="paragraph" w:customStyle="1" w:styleId="QStyleTimesNormal">
    <w:name w:val="Q Style Times Normal"/>
    <w:basedOn w:val="Normal"/>
    <w:qFormat/>
    <w:rsid w:val="00137172"/>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 Warnock"/>
    <w:qFormat/>
    <w:rsid w:val="00137172"/>
    <w:pPr>
      <w:spacing w:after="0"/>
    </w:pPr>
    <w:rPr>
      <w:rFonts w:ascii="Warnock Pro" w:hAnsi="Warnock Pro"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StyleDouble">
    <w:name w:val="Q. Style Double"/>
    <w:basedOn w:val="Normal"/>
    <w:rsid w:val="00BC2B52"/>
    <w:pPr>
      <w:spacing w:line="480" w:lineRule="auto"/>
      <w:ind w:firstLine="360"/>
    </w:pPr>
  </w:style>
  <w:style w:type="paragraph" w:customStyle="1" w:styleId="WarnockStyle1">
    <w:name w:val="Warnock Style1"/>
    <w:basedOn w:val="Normal"/>
    <w:rsid w:val="00284625"/>
    <w:pPr>
      <w:ind w:firstLine="360"/>
    </w:pPr>
  </w:style>
  <w:style w:type="paragraph" w:customStyle="1" w:styleId="QStyleMinion">
    <w:name w:val="Q Style Minion"/>
    <w:basedOn w:val="Normal"/>
    <w:qFormat/>
    <w:rsid w:val="00E82726"/>
    <w:pPr>
      <w:widowControl w:val="0"/>
      <w:spacing w:line="360" w:lineRule="auto"/>
      <w:ind w:firstLine="360"/>
      <w:contextualSpacing/>
    </w:pPr>
    <w:rPr>
      <w:rFonts w:ascii="Minion Pro" w:hAnsi="Minion Pro" w:cstheme="minorBidi"/>
      <w:color w:val="000000"/>
      <w:szCs w:val="24"/>
    </w:rPr>
  </w:style>
  <w:style w:type="paragraph" w:customStyle="1" w:styleId="QStyleTimesNormal">
    <w:name w:val="Q Style Times Normal"/>
    <w:basedOn w:val="Normal"/>
    <w:qFormat/>
    <w:rsid w:val="0013717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964</Words>
  <Characters>5501</Characters>
  <Application>Microsoft Macintosh Word</Application>
  <DocSecurity>0</DocSecurity>
  <Lines>45</Lines>
  <Paragraphs>12</Paragraphs>
  <ScaleCrop>false</ScaleCrop>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Quintin Wight</dc:creator>
  <cp:keywords/>
  <dc:description/>
  <cp:lastModifiedBy>Carolyn Weinberger</cp:lastModifiedBy>
  <cp:revision>3</cp:revision>
  <cp:lastPrinted>2017-03-19T21:31:00Z</cp:lastPrinted>
  <dcterms:created xsi:type="dcterms:W3CDTF">2015-06-15T10:43:00Z</dcterms:created>
  <dcterms:modified xsi:type="dcterms:W3CDTF">2017-03-19T21:32:00Z</dcterms:modified>
</cp:coreProperties>
</file>